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7E677" w14:textId="77777777" w:rsidR="00467B5F" w:rsidRPr="00C53C57" w:rsidRDefault="00467B5F" w:rsidP="00467B5F">
      <w:pPr>
        <w:tabs>
          <w:tab w:val="left" w:pos="1200"/>
        </w:tabs>
        <w:jc w:val="both"/>
        <w:rPr>
          <w:rFonts w:ascii="Arial" w:hAnsi="Arial" w:cs="Arial"/>
          <w:b/>
          <w:bCs/>
          <w:sz w:val="32"/>
          <w:szCs w:val="32"/>
        </w:rPr>
      </w:pPr>
      <w:r w:rsidRPr="00C53C57">
        <w:rPr>
          <w:rFonts w:ascii="Arial" w:hAnsi="Arial" w:cs="Arial"/>
          <w:b/>
          <w:bCs/>
          <w:sz w:val="32"/>
          <w:szCs w:val="32"/>
        </w:rPr>
        <w:t>A roadmap to r</w:t>
      </w:r>
      <w:r>
        <w:rPr>
          <w:rFonts w:ascii="Arial" w:hAnsi="Arial" w:cs="Arial"/>
          <w:b/>
          <w:bCs/>
          <w:sz w:val="32"/>
          <w:szCs w:val="32"/>
        </w:rPr>
        <w:t xml:space="preserve">ecovery: Diabetes in the post </w:t>
      </w:r>
      <w:r w:rsidRPr="00C53C57">
        <w:rPr>
          <w:rFonts w:ascii="Arial" w:hAnsi="Arial" w:cs="Arial"/>
          <w:b/>
          <w:bCs/>
          <w:sz w:val="32"/>
          <w:szCs w:val="32"/>
        </w:rPr>
        <w:t>Covid-19 Era</w:t>
      </w:r>
    </w:p>
    <w:p w14:paraId="7211612F" w14:textId="77777777" w:rsidR="00467B5F" w:rsidRPr="00C53C57" w:rsidRDefault="00467B5F" w:rsidP="00467B5F">
      <w:pPr>
        <w:tabs>
          <w:tab w:val="left" w:pos="1200"/>
        </w:tabs>
        <w:jc w:val="both"/>
        <w:rPr>
          <w:rFonts w:ascii="Arial" w:hAnsi="Arial" w:cs="Arial"/>
          <w:b/>
          <w:bCs/>
          <w:sz w:val="22"/>
          <w:szCs w:val="22"/>
        </w:rPr>
      </w:pPr>
    </w:p>
    <w:p w14:paraId="1FCA2EE1" w14:textId="77777777" w:rsidR="00467B5F" w:rsidRPr="00C53C57" w:rsidRDefault="00467B5F" w:rsidP="00467B5F">
      <w:pPr>
        <w:tabs>
          <w:tab w:val="left" w:pos="1200"/>
        </w:tabs>
        <w:jc w:val="both"/>
        <w:rPr>
          <w:rFonts w:ascii="Arial" w:hAnsi="Arial" w:cs="Arial"/>
          <w:b/>
          <w:bCs/>
          <w:sz w:val="22"/>
          <w:szCs w:val="22"/>
        </w:rPr>
      </w:pPr>
      <w:r w:rsidRPr="00C53C57">
        <w:rPr>
          <w:rFonts w:ascii="Arial" w:hAnsi="Arial" w:cs="Arial"/>
          <w:b/>
          <w:bCs/>
          <w:sz w:val="22"/>
          <w:szCs w:val="22"/>
        </w:rPr>
        <w:t>P Choudhary</w:t>
      </w:r>
      <w:r>
        <w:rPr>
          <w:rFonts w:ascii="Arial" w:hAnsi="Arial" w:cs="Arial"/>
          <w:b/>
          <w:bCs/>
          <w:sz w:val="22"/>
          <w:szCs w:val="22"/>
        </w:rPr>
        <w:t xml:space="preserve">, </w:t>
      </w:r>
      <w:r w:rsidRPr="00C53C57">
        <w:rPr>
          <w:rFonts w:ascii="Arial" w:hAnsi="Arial" w:cs="Arial"/>
          <w:b/>
          <w:bCs/>
          <w:sz w:val="22"/>
          <w:szCs w:val="22"/>
        </w:rPr>
        <w:t>EG Wilmot</w:t>
      </w:r>
      <w:proofErr w:type="gramStart"/>
      <w:r w:rsidRPr="00C53C57">
        <w:rPr>
          <w:rFonts w:ascii="Arial" w:hAnsi="Arial" w:cs="Arial"/>
          <w:b/>
          <w:bCs/>
          <w:sz w:val="22"/>
          <w:szCs w:val="22"/>
        </w:rPr>
        <w:t>, ,</w:t>
      </w:r>
      <w:proofErr w:type="gramEnd"/>
      <w:r w:rsidRPr="00C53C57">
        <w:rPr>
          <w:rFonts w:ascii="Arial" w:hAnsi="Arial" w:cs="Arial"/>
          <w:b/>
          <w:bCs/>
          <w:sz w:val="22"/>
          <w:szCs w:val="22"/>
        </w:rPr>
        <w:t xml:space="preserve"> K Owen, DC Patel,  L Mills, G </w:t>
      </w:r>
      <w:proofErr w:type="spellStart"/>
      <w:r w:rsidRPr="00C53C57">
        <w:rPr>
          <w:rFonts w:ascii="Arial" w:hAnsi="Arial" w:cs="Arial"/>
          <w:b/>
          <w:bCs/>
          <w:sz w:val="22"/>
          <w:szCs w:val="22"/>
        </w:rPr>
        <w:t>Rayman</w:t>
      </w:r>
      <w:proofErr w:type="spellEnd"/>
      <w:r w:rsidRPr="00C53C57">
        <w:rPr>
          <w:rFonts w:ascii="Arial" w:hAnsi="Arial" w:cs="Arial"/>
          <w:b/>
          <w:bCs/>
          <w:sz w:val="22"/>
          <w:szCs w:val="22"/>
        </w:rPr>
        <w:t xml:space="preserve">,  P </w:t>
      </w:r>
      <w:proofErr w:type="spellStart"/>
      <w:r w:rsidRPr="00C53C57">
        <w:rPr>
          <w:rFonts w:ascii="Arial" w:hAnsi="Arial" w:cs="Arial"/>
          <w:b/>
          <w:bCs/>
          <w:sz w:val="22"/>
          <w:szCs w:val="22"/>
        </w:rPr>
        <w:t>Winocour</w:t>
      </w:r>
      <w:proofErr w:type="spellEnd"/>
      <w:r w:rsidRPr="00C53C57">
        <w:rPr>
          <w:rFonts w:ascii="Arial" w:hAnsi="Arial" w:cs="Arial"/>
          <w:b/>
          <w:bCs/>
          <w:sz w:val="22"/>
          <w:szCs w:val="22"/>
        </w:rPr>
        <w:t xml:space="preserve">, G Ayman, R Patel, C </w:t>
      </w:r>
      <w:proofErr w:type="spellStart"/>
      <w:r w:rsidRPr="00C53C57">
        <w:rPr>
          <w:rFonts w:ascii="Arial" w:hAnsi="Arial" w:cs="Arial"/>
          <w:b/>
          <w:bCs/>
          <w:sz w:val="22"/>
          <w:szCs w:val="22"/>
        </w:rPr>
        <w:t>Hambling</w:t>
      </w:r>
      <w:proofErr w:type="spellEnd"/>
      <w:r w:rsidRPr="00C53C57">
        <w:rPr>
          <w:rFonts w:ascii="Arial" w:hAnsi="Arial" w:cs="Arial"/>
          <w:b/>
          <w:bCs/>
          <w:sz w:val="22"/>
          <w:szCs w:val="22"/>
        </w:rPr>
        <w:t xml:space="preserve"> and DK </w:t>
      </w:r>
      <w:proofErr w:type="spellStart"/>
      <w:r w:rsidRPr="00C53C57">
        <w:rPr>
          <w:rFonts w:ascii="Arial" w:hAnsi="Arial" w:cs="Arial"/>
          <w:b/>
          <w:bCs/>
          <w:sz w:val="22"/>
          <w:szCs w:val="22"/>
        </w:rPr>
        <w:t>Nagi</w:t>
      </w:r>
      <w:proofErr w:type="spellEnd"/>
    </w:p>
    <w:p w14:paraId="2A75294F" w14:textId="77777777" w:rsidR="00467B5F" w:rsidRDefault="00467B5F" w:rsidP="00467B5F">
      <w:pPr>
        <w:ind w:left="360"/>
        <w:jc w:val="both"/>
        <w:rPr>
          <w:rFonts w:ascii="Arial" w:hAnsi="Arial" w:cs="Arial"/>
          <w:sz w:val="22"/>
          <w:szCs w:val="22"/>
        </w:rPr>
      </w:pPr>
    </w:p>
    <w:p w14:paraId="6BBE7EAF" w14:textId="77777777" w:rsidR="00467B5F" w:rsidRDefault="00467B5F" w:rsidP="00467B5F">
      <w:pPr>
        <w:ind w:left="360" w:hanging="360"/>
        <w:jc w:val="both"/>
        <w:rPr>
          <w:rFonts w:ascii="Arial" w:hAnsi="Arial" w:cs="Arial"/>
          <w:b/>
          <w:bCs/>
          <w:sz w:val="22"/>
          <w:szCs w:val="22"/>
        </w:rPr>
      </w:pPr>
      <w:r>
        <w:rPr>
          <w:rFonts w:ascii="Arial" w:hAnsi="Arial" w:cs="Arial"/>
          <w:sz w:val="22"/>
          <w:szCs w:val="22"/>
        </w:rPr>
        <w:t>F</w:t>
      </w:r>
      <w:r w:rsidRPr="00C53C57">
        <w:rPr>
          <w:rFonts w:ascii="Arial" w:hAnsi="Arial" w:cs="Arial"/>
          <w:sz w:val="22"/>
          <w:szCs w:val="22"/>
        </w:rPr>
        <w:t xml:space="preserve">ive general principles </w:t>
      </w:r>
      <w:r>
        <w:rPr>
          <w:rFonts w:ascii="Arial" w:hAnsi="Arial" w:cs="Arial"/>
          <w:sz w:val="22"/>
          <w:szCs w:val="22"/>
        </w:rPr>
        <w:t xml:space="preserve">as </w:t>
      </w:r>
      <w:r w:rsidRPr="00C53C57">
        <w:rPr>
          <w:rFonts w:ascii="Arial" w:hAnsi="Arial" w:cs="Arial"/>
          <w:sz w:val="22"/>
          <w:szCs w:val="22"/>
        </w:rPr>
        <w:t>laid out by the Academy of Royal Colleges</w:t>
      </w:r>
    </w:p>
    <w:p w14:paraId="060EE841" w14:textId="77777777" w:rsidR="00467B5F" w:rsidRDefault="00467B5F" w:rsidP="00467B5F">
      <w:pPr>
        <w:ind w:left="360"/>
        <w:jc w:val="both"/>
        <w:rPr>
          <w:rFonts w:ascii="Arial" w:hAnsi="Arial" w:cs="Arial"/>
          <w:b/>
          <w:bCs/>
          <w:sz w:val="22"/>
          <w:szCs w:val="22"/>
        </w:rPr>
      </w:pPr>
    </w:p>
    <w:p w14:paraId="04F0AFA7" w14:textId="77777777" w:rsidR="00467B5F" w:rsidRPr="005B21F4" w:rsidRDefault="00467B5F" w:rsidP="00467B5F">
      <w:pPr>
        <w:ind w:left="360"/>
        <w:jc w:val="both"/>
        <w:rPr>
          <w:rFonts w:ascii="Arial" w:hAnsi="Arial" w:cs="Arial"/>
          <w:sz w:val="22"/>
          <w:szCs w:val="22"/>
        </w:rPr>
      </w:pPr>
      <w:r w:rsidRPr="005B21F4">
        <w:rPr>
          <w:rFonts w:ascii="Arial" w:hAnsi="Arial" w:cs="Arial"/>
          <w:b/>
          <w:bCs/>
          <w:sz w:val="22"/>
          <w:szCs w:val="22"/>
        </w:rPr>
        <w:t>Principle 1</w:t>
      </w:r>
      <w:r w:rsidRPr="005B21F4">
        <w:rPr>
          <w:rFonts w:ascii="Arial" w:hAnsi="Arial" w:cs="Arial"/>
          <w:sz w:val="22"/>
          <w:szCs w:val="22"/>
        </w:rPr>
        <w:t xml:space="preserve"> – Patients should be offered virtual or remote care where safe and possible</w:t>
      </w:r>
    </w:p>
    <w:p w14:paraId="208F4953" w14:textId="77777777" w:rsidR="00467B5F" w:rsidRPr="005B21F4" w:rsidRDefault="00467B5F" w:rsidP="00467B5F">
      <w:pPr>
        <w:ind w:left="360"/>
        <w:jc w:val="both"/>
        <w:rPr>
          <w:rFonts w:ascii="Arial" w:hAnsi="Arial" w:cs="Arial"/>
          <w:sz w:val="22"/>
          <w:szCs w:val="22"/>
        </w:rPr>
      </w:pPr>
      <w:r w:rsidRPr="005B21F4">
        <w:rPr>
          <w:rFonts w:ascii="Arial" w:hAnsi="Arial" w:cs="Arial"/>
          <w:b/>
          <w:bCs/>
          <w:sz w:val="22"/>
          <w:szCs w:val="22"/>
        </w:rPr>
        <w:t>Principle 2</w:t>
      </w:r>
      <w:r w:rsidRPr="005B21F4">
        <w:rPr>
          <w:rFonts w:ascii="Arial" w:hAnsi="Arial" w:cs="Arial"/>
          <w:sz w:val="22"/>
          <w:szCs w:val="22"/>
        </w:rPr>
        <w:t xml:space="preserve"> – Patients should be offered alternative management options which are temporary or permanent using shared decision making </w:t>
      </w:r>
    </w:p>
    <w:p w14:paraId="33FCBCB6" w14:textId="77777777" w:rsidR="00467B5F" w:rsidRPr="005B21F4" w:rsidRDefault="00467B5F" w:rsidP="00467B5F">
      <w:pPr>
        <w:ind w:left="360"/>
        <w:jc w:val="both"/>
        <w:rPr>
          <w:rFonts w:ascii="Arial" w:hAnsi="Arial" w:cs="Arial"/>
          <w:sz w:val="22"/>
          <w:szCs w:val="22"/>
        </w:rPr>
      </w:pPr>
      <w:r w:rsidRPr="005B21F4">
        <w:rPr>
          <w:rFonts w:ascii="Arial" w:hAnsi="Arial" w:cs="Arial"/>
          <w:b/>
          <w:bCs/>
          <w:sz w:val="22"/>
          <w:szCs w:val="22"/>
        </w:rPr>
        <w:t>Principle 3</w:t>
      </w:r>
      <w:r w:rsidRPr="005B21F4">
        <w:rPr>
          <w:rFonts w:ascii="Arial" w:hAnsi="Arial" w:cs="Arial"/>
          <w:sz w:val="22"/>
          <w:szCs w:val="22"/>
        </w:rPr>
        <w:t xml:space="preserve"> – Patients should feel safe and protected when they need to access direct healthcare in all settings</w:t>
      </w:r>
    </w:p>
    <w:p w14:paraId="01E05781" w14:textId="77777777" w:rsidR="00467B5F" w:rsidRPr="005B21F4" w:rsidRDefault="00467B5F" w:rsidP="00467B5F">
      <w:pPr>
        <w:ind w:left="360"/>
        <w:jc w:val="both"/>
        <w:rPr>
          <w:rFonts w:ascii="Arial" w:hAnsi="Arial" w:cs="Arial"/>
          <w:sz w:val="22"/>
          <w:szCs w:val="22"/>
        </w:rPr>
      </w:pPr>
      <w:r w:rsidRPr="005B21F4">
        <w:rPr>
          <w:rFonts w:ascii="Arial" w:hAnsi="Arial" w:cs="Arial"/>
          <w:b/>
          <w:bCs/>
          <w:sz w:val="22"/>
          <w:szCs w:val="22"/>
        </w:rPr>
        <w:t>Principle 4</w:t>
      </w:r>
      <w:r w:rsidRPr="005B21F4">
        <w:rPr>
          <w:rFonts w:ascii="Arial" w:hAnsi="Arial" w:cs="Arial"/>
          <w:sz w:val="22"/>
          <w:szCs w:val="22"/>
        </w:rPr>
        <w:t xml:space="preserve"> – Staff should feel enabled, safe and protected to deliver care</w:t>
      </w:r>
    </w:p>
    <w:p w14:paraId="1689AAFC" w14:textId="77777777" w:rsidR="00467B5F" w:rsidRPr="005B21F4" w:rsidRDefault="00467B5F" w:rsidP="00467B5F">
      <w:pPr>
        <w:ind w:left="360"/>
        <w:jc w:val="both"/>
        <w:rPr>
          <w:rFonts w:ascii="Arial" w:hAnsi="Arial" w:cs="Arial"/>
          <w:sz w:val="22"/>
          <w:szCs w:val="22"/>
        </w:rPr>
      </w:pPr>
      <w:r w:rsidRPr="005B21F4">
        <w:rPr>
          <w:rFonts w:ascii="Arial" w:hAnsi="Arial" w:cs="Arial"/>
          <w:b/>
          <w:bCs/>
          <w:sz w:val="22"/>
          <w:szCs w:val="22"/>
        </w:rPr>
        <w:t>Principle 5</w:t>
      </w:r>
      <w:r w:rsidRPr="005B21F4">
        <w:rPr>
          <w:rFonts w:ascii="Arial" w:hAnsi="Arial" w:cs="Arial"/>
          <w:sz w:val="22"/>
          <w:szCs w:val="22"/>
        </w:rPr>
        <w:t xml:space="preserve"> – Staff should be supported and provided with training and education that will ensure adequate preparation of current and future staff</w:t>
      </w:r>
    </w:p>
    <w:p w14:paraId="3A714517" w14:textId="77777777" w:rsidR="00467B5F" w:rsidRPr="00C53C57" w:rsidRDefault="00467B5F" w:rsidP="00467B5F">
      <w:pPr>
        <w:tabs>
          <w:tab w:val="left" w:pos="1200"/>
        </w:tabs>
        <w:jc w:val="both"/>
        <w:rPr>
          <w:rFonts w:ascii="Arial" w:hAnsi="Arial" w:cs="Arial"/>
          <w:sz w:val="22"/>
          <w:szCs w:val="22"/>
        </w:rPr>
      </w:pPr>
    </w:p>
    <w:p w14:paraId="26744F09" w14:textId="77777777" w:rsidR="00467B5F" w:rsidRDefault="00467B5F" w:rsidP="00467B5F">
      <w:pPr>
        <w:tabs>
          <w:tab w:val="left" w:pos="1200"/>
        </w:tabs>
        <w:jc w:val="both"/>
        <w:rPr>
          <w:rFonts w:ascii="Arial" w:hAnsi="Arial" w:cs="Arial"/>
          <w:sz w:val="22"/>
          <w:szCs w:val="22"/>
        </w:rPr>
      </w:pPr>
      <w:r w:rsidRPr="00C53C57">
        <w:rPr>
          <w:rFonts w:ascii="Arial" w:hAnsi="Arial" w:cs="Arial"/>
          <w:sz w:val="22"/>
          <w:szCs w:val="22"/>
        </w:rPr>
        <w:t xml:space="preserve"> The path to recovery plan should start and focus on:</w:t>
      </w:r>
    </w:p>
    <w:p w14:paraId="5708D147" w14:textId="77777777" w:rsidR="00467B5F" w:rsidRPr="00C53C57" w:rsidRDefault="00467B5F" w:rsidP="00467B5F">
      <w:pPr>
        <w:tabs>
          <w:tab w:val="left" w:pos="1200"/>
        </w:tabs>
        <w:jc w:val="both"/>
        <w:rPr>
          <w:rFonts w:ascii="Arial" w:hAnsi="Arial" w:cs="Arial"/>
          <w:sz w:val="22"/>
          <w:szCs w:val="22"/>
        </w:rPr>
      </w:pPr>
    </w:p>
    <w:p w14:paraId="085175CD" w14:textId="77777777" w:rsidR="00467B5F" w:rsidRPr="00C53C57" w:rsidRDefault="00467B5F" w:rsidP="00467B5F">
      <w:pPr>
        <w:pStyle w:val="ListParagraph"/>
        <w:numPr>
          <w:ilvl w:val="0"/>
          <w:numId w:val="1"/>
        </w:numPr>
        <w:jc w:val="both"/>
        <w:rPr>
          <w:rFonts w:ascii="Arial" w:hAnsi="Arial" w:cs="Arial"/>
          <w:sz w:val="22"/>
          <w:szCs w:val="22"/>
        </w:rPr>
      </w:pPr>
      <w:r w:rsidRPr="00C53C57">
        <w:rPr>
          <w:rFonts w:ascii="Arial" w:hAnsi="Arial" w:cs="Arial"/>
          <w:b/>
          <w:bCs/>
          <w:sz w:val="22"/>
          <w:szCs w:val="22"/>
        </w:rPr>
        <w:t>Risk stratification and triage</w:t>
      </w:r>
    </w:p>
    <w:p w14:paraId="3820E741" w14:textId="77777777" w:rsidR="00467B5F" w:rsidRPr="00C53C57" w:rsidRDefault="00467B5F" w:rsidP="00467B5F">
      <w:pPr>
        <w:pStyle w:val="ListParagraph"/>
        <w:numPr>
          <w:ilvl w:val="0"/>
          <w:numId w:val="1"/>
        </w:numPr>
        <w:jc w:val="both"/>
        <w:rPr>
          <w:rFonts w:ascii="Arial" w:hAnsi="Arial" w:cs="Arial"/>
          <w:sz w:val="22"/>
          <w:szCs w:val="22"/>
        </w:rPr>
      </w:pPr>
      <w:r w:rsidRPr="00C53C57">
        <w:rPr>
          <w:rFonts w:ascii="Arial" w:hAnsi="Arial" w:cs="Arial"/>
          <w:b/>
          <w:bCs/>
          <w:sz w:val="22"/>
          <w:szCs w:val="22"/>
        </w:rPr>
        <w:t xml:space="preserve">Resource allocation </w:t>
      </w:r>
    </w:p>
    <w:p w14:paraId="615481C7" w14:textId="77777777" w:rsidR="00467B5F" w:rsidRPr="00C53C57" w:rsidRDefault="00467B5F" w:rsidP="00467B5F">
      <w:pPr>
        <w:pStyle w:val="ListParagraph"/>
        <w:numPr>
          <w:ilvl w:val="0"/>
          <w:numId w:val="1"/>
        </w:numPr>
        <w:jc w:val="both"/>
        <w:rPr>
          <w:rFonts w:ascii="Arial" w:hAnsi="Arial" w:cs="Arial"/>
          <w:sz w:val="22"/>
          <w:szCs w:val="22"/>
        </w:rPr>
      </w:pPr>
      <w:r w:rsidRPr="00C53C57">
        <w:rPr>
          <w:rFonts w:ascii="Arial" w:hAnsi="Arial" w:cs="Arial"/>
          <w:b/>
          <w:bCs/>
          <w:sz w:val="22"/>
          <w:szCs w:val="22"/>
        </w:rPr>
        <w:t xml:space="preserve">Transfer of care to specialist centres when required </w:t>
      </w:r>
    </w:p>
    <w:p w14:paraId="02038EFB" w14:textId="77777777" w:rsidR="00467B5F" w:rsidRPr="00C53C57" w:rsidRDefault="00467B5F" w:rsidP="00467B5F">
      <w:pPr>
        <w:pStyle w:val="ListParagraph"/>
        <w:numPr>
          <w:ilvl w:val="0"/>
          <w:numId w:val="1"/>
        </w:numPr>
        <w:jc w:val="both"/>
        <w:rPr>
          <w:rFonts w:ascii="Arial" w:hAnsi="Arial" w:cs="Arial"/>
          <w:sz w:val="22"/>
          <w:szCs w:val="22"/>
        </w:rPr>
      </w:pPr>
      <w:r w:rsidRPr="00C53C57">
        <w:rPr>
          <w:rFonts w:ascii="Arial" w:hAnsi="Arial" w:cs="Arial"/>
          <w:b/>
          <w:bCs/>
          <w:sz w:val="22"/>
          <w:szCs w:val="22"/>
        </w:rPr>
        <w:t xml:space="preserve">Communication Prioritisation </w:t>
      </w:r>
      <w:r w:rsidRPr="00C53C57">
        <w:rPr>
          <w:rFonts w:ascii="Arial" w:hAnsi="Arial" w:cs="Arial"/>
          <w:sz w:val="22"/>
          <w:szCs w:val="22"/>
        </w:rPr>
        <w:t>of those most in need of clinical support</w:t>
      </w:r>
    </w:p>
    <w:p w14:paraId="5D90E4EF" w14:textId="77777777" w:rsidR="00467B5F" w:rsidRPr="00C53C57" w:rsidRDefault="00467B5F" w:rsidP="00467B5F">
      <w:pPr>
        <w:pStyle w:val="ListParagraph"/>
        <w:numPr>
          <w:ilvl w:val="0"/>
          <w:numId w:val="1"/>
        </w:numPr>
        <w:tabs>
          <w:tab w:val="left" w:pos="1200"/>
        </w:tabs>
        <w:jc w:val="both"/>
        <w:rPr>
          <w:rFonts w:ascii="Arial" w:hAnsi="Arial" w:cs="Arial"/>
          <w:sz w:val="22"/>
          <w:szCs w:val="22"/>
        </w:rPr>
      </w:pPr>
      <w:r w:rsidRPr="00C53C57">
        <w:rPr>
          <w:rFonts w:ascii="Arial" w:hAnsi="Arial" w:cs="Arial"/>
          <w:sz w:val="22"/>
          <w:szCs w:val="22"/>
        </w:rPr>
        <w:t xml:space="preserve">Maintaining </w:t>
      </w:r>
      <w:r w:rsidRPr="00C53C57">
        <w:rPr>
          <w:rFonts w:ascii="Arial" w:hAnsi="Arial" w:cs="Arial"/>
          <w:b/>
          <w:bCs/>
          <w:sz w:val="22"/>
          <w:szCs w:val="22"/>
        </w:rPr>
        <w:t>social distancing</w:t>
      </w:r>
      <w:r w:rsidRPr="00C53C57">
        <w:rPr>
          <w:rFonts w:ascii="Arial" w:hAnsi="Arial" w:cs="Arial"/>
          <w:sz w:val="22"/>
          <w:szCs w:val="22"/>
        </w:rPr>
        <w:t xml:space="preserve"> </w:t>
      </w:r>
    </w:p>
    <w:p w14:paraId="1AAB960C" w14:textId="77777777" w:rsidR="00467B5F" w:rsidRPr="00C53C57" w:rsidRDefault="00467B5F" w:rsidP="00467B5F">
      <w:pPr>
        <w:pStyle w:val="ListParagraph"/>
        <w:numPr>
          <w:ilvl w:val="0"/>
          <w:numId w:val="1"/>
        </w:numPr>
        <w:tabs>
          <w:tab w:val="left" w:pos="1200"/>
        </w:tabs>
        <w:jc w:val="both"/>
        <w:rPr>
          <w:rFonts w:ascii="Arial" w:hAnsi="Arial" w:cs="Arial"/>
          <w:b/>
          <w:bCs/>
          <w:sz w:val="22"/>
          <w:szCs w:val="22"/>
        </w:rPr>
      </w:pPr>
      <w:r w:rsidRPr="00C53C57">
        <w:rPr>
          <w:rFonts w:ascii="Arial" w:hAnsi="Arial" w:cs="Arial"/>
          <w:sz w:val="22"/>
          <w:szCs w:val="22"/>
        </w:rPr>
        <w:t>Ensuring ongoing access to</w:t>
      </w:r>
      <w:r w:rsidRPr="00C53C57">
        <w:rPr>
          <w:rFonts w:ascii="Arial" w:hAnsi="Arial" w:cs="Arial"/>
          <w:b/>
          <w:bCs/>
          <w:sz w:val="22"/>
          <w:szCs w:val="22"/>
        </w:rPr>
        <w:t xml:space="preserve"> evidence-based interventions</w:t>
      </w:r>
    </w:p>
    <w:p w14:paraId="43A80015" w14:textId="77777777" w:rsidR="00467B5F" w:rsidRPr="00C53C57" w:rsidRDefault="00467B5F" w:rsidP="00467B5F">
      <w:pPr>
        <w:pStyle w:val="ListParagraph"/>
        <w:numPr>
          <w:ilvl w:val="0"/>
          <w:numId w:val="1"/>
        </w:numPr>
        <w:jc w:val="both"/>
        <w:rPr>
          <w:rFonts w:ascii="Arial" w:hAnsi="Arial" w:cs="Arial"/>
          <w:b/>
          <w:bCs/>
          <w:sz w:val="22"/>
          <w:szCs w:val="22"/>
        </w:rPr>
      </w:pPr>
      <w:r w:rsidRPr="00C53C57">
        <w:rPr>
          <w:rFonts w:ascii="Arial" w:hAnsi="Arial" w:cs="Arial"/>
          <w:b/>
          <w:bCs/>
          <w:sz w:val="22"/>
          <w:szCs w:val="22"/>
        </w:rPr>
        <w:t>Ensuring seamless communication and collaboration between primary and secondary care services</w:t>
      </w:r>
    </w:p>
    <w:p w14:paraId="1F180889" w14:textId="77777777" w:rsidR="00467B5F" w:rsidRDefault="00467B5F" w:rsidP="00467B5F">
      <w:pPr>
        <w:jc w:val="both"/>
        <w:rPr>
          <w:rFonts w:ascii="Arial" w:hAnsi="Arial" w:cs="Arial"/>
          <w:b/>
          <w:bCs/>
          <w:sz w:val="22"/>
          <w:szCs w:val="22"/>
        </w:rPr>
      </w:pPr>
    </w:p>
    <w:p w14:paraId="780C409D" w14:textId="77777777" w:rsidR="00467B5F" w:rsidRDefault="00467B5F" w:rsidP="00467B5F">
      <w:pPr>
        <w:jc w:val="both"/>
        <w:rPr>
          <w:rFonts w:ascii="Arial" w:hAnsi="Arial" w:cs="Arial"/>
          <w:b/>
          <w:bCs/>
          <w:sz w:val="22"/>
          <w:szCs w:val="22"/>
        </w:rPr>
      </w:pPr>
    </w:p>
    <w:p w14:paraId="0917C6DE" w14:textId="77777777" w:rsidR="00467B5F" w:rsidRPr="00467B5F" w:rsidRDefault="00467B5F" w:rsidP="00467B5F">
      <w:pPr>
        <w:jc w:val="both"/>
        <w:rPr>
          <w:rFonts w:ascii="Arial" w:hAnsi="Arial" w:cs="Arial"/>
          <w:b/>
          <w:bCs/>
          <w:sz w:val="22"/>
          <w:szCs w:val="22"/>
          <w:u w:val="single"/>
        </w:rPr>
      </w:pPr>
      <w:r w:rsidRPr="00467B5F">
        <w:rPr>
          <w:rFonts w:ascii="Arial" w:hAnsi="Arial" w:cs="Arial"/>
          <w:b/>
          <w:bCs/>
          <w:sz w:val="22"/>
          <w:szCs w:val="22"/>
          <w:u w:val="single"/>
        </w:rPr>
        <w:t xml:space="preserve">RISK STRATIFICATION AND TRIAGE: </w:t>
      </w:r>
    </w:p>
    <w:p w14:paraId="7034E1A0" w14:textId="77777777" w:rsidR="00467B5F" w:rsidRDefault="00467B5F" w:rsidP="00467B5F">
      <w:pPr>
        <w:jc w:val="both"/>
        <w:rPr>
          <w:rFonts w:ascii="Arial" w:hAnsi="Arial" w:cs="Arial"/>
          <w:b/>
          <w:bCs/>
          <w:sz w:val="22"/>
          <w:szCs w:val="22"/>
        </w:rPr>
      </w:pPr>
    </w:p>
    <w:p w14:paraId="37C0B30F" w14:textId="77777777" w:rsidR="00467B5F" w:rsidRDefault="00467B5F" w:rsidP="00467B5F">
      <w:pPr>
        <w:jc w:val="both"/>
        <w:rPr>
          <w:rFonts w:ascii="Arial" w:hAnsi="Arial" w:cs="Arial"/>
          <w:b/>
          <w:bCs/>
          <w:sz w:val="22"/>
          <w:szCs w:val="22"/>
        </w:rPr>
      </w:pPr>
    </w:p>
    <w:p w14:paraId="76A20AB5" w14:textId="77777777" w:rsidR="00467B5F" w:rsidRDefault="00467B5F" w:rsidP="00467B5F">
      <w:pPr>
        <w:jc w:val="both"/>
        <w:rPr>
          <w:rFonts w:ascii="Arial" w:hAnsi="Arial" w:cs="Arial"/>
          <w:b/>
          <w:bCs/>
          <w:sz w:val="22"/>
          <w:szCs w:val="22"/>
        </w:rPr>
      </w:pPr>
    </w:p>
    <w:p w14:paraId="4181ADCD" w14:textId="77777777" w:rsidR="00467B5F" w:rsidRPr="00C53C57" w:rsidRDefault="00467B5F" w:rsidP="00467B5F">
      <w:pPr>
        <w:jc w:val="both"/>
        <w:rPr>
          <w:rFonts w:ascii="Arial" w:hAnsi="Arial" w:cs="Arial"/>
          <w:sz w:val="22"/>
          <w:szCs w:val="22"/>
        </w:rPr>
      </w:pPr>
      <w:r w:rsidRPr="00C53C57">
        <w:rPr>
          <w:rFonts w:ascii="Arial" w:hAnsi="Arial" w:cs="Arial"/>
          <w:b/>
          <w:bCs/>
          <w:sz w:val="22"/>
          <w:szCs w:val="22"/>
        </w:rPr>
        <w:t>URGENT “Red</w:t>
      </w:r>
      <w:r w:rsidRPr="00C53C57">
        <w:rPr>
          <w:rFonts w:ascii="Arial" w:hAnsi="Arial" w:cs="Arial"/>
          <w:sz w:val="22"/>
          <w:szCs w:val="22"/>
        </w:rPr>
        <w:t>”: These p</w:t>
      </w:r>
      <w:r>
        <w:rPr>
          <w:rFonts w:ascii="Arial" w:hAnsi="Arial" w:cs="Arial"/>
          <w:sz w:val="22"/>
          <w:szCs w:val="22"/>
        </w:rPr>
        <w:t xml:space="preserve">eople with diabetes </w:t>
      </w:r>
      <w:r w:rsidRPr="00C53C57">
        <w:rPr>
          <w:rFonts w:ascii="Arial" w:hAnsi="Arial" w:cs="Arial"/>
          <w:sz w:val="22"/>
          <w:szCs w:val="22"/>
        </w:rPr>
        <w:t>should be reviewed as soon as possible (within 3 months) by their team and require a detailed individualised care plan to address their risk factors and minimise their risk of admission. We estimate this may make up 10-20% of those in specialist services. These should include those with newly diagnosed</w:t>
      </w:r>
      <w:r>
        <w:rPr>
          <w:rFonts w:ascii="Arial" w:hAnsi="Arial" w:cs="Arial"/>
          <w:sz w:val="22"/>
          <w:szCs w:val="22"/>
        </w:rPr>
        <w:t>, or possible</w:t>
      </w:r>
      <w:r w:rsidRPr="00C53C57">
        <w:rPr>
          <w:rFonts w:ascii="Arial" w:hAnsi="Arial" w:cs="Arial"/>
          <w:sz w:val="22"/>
          <w:szCs w:val="22"/>
        </w:rPr>
        <w:t xml:space="preserve"> type 1 diabetes.</w:t>
      </w:r>
    </w:p>
    <w:p w14:paraId="26F5689E" w14:textId="77777777" w:rsidR="00467B5F" w:rsidRPr="00C53C57" w:rsidRDefault="00467B5F" w:rsidP="00467B5F">
      <w:pPr>
        <w:pStyle w:val="ListParagraph"/>
        <w:numPr>
          <w:ilvl w:val="0"/>
          <w:numId w:val="2"/>
        </w:numPr>
        <w:jc w:val="both"/>
        <w:rPr>
          <w:rFonts w:ascii="Arial" w:hAnsi="Arial" w:cs="Arial"/>
          <w:sz w:val="22"/>
          <w:szCs w:val="22"/>
        </w:rPr>
      </w:pPr>
      <w:r w:rsidRPr="00C53C57">
        <w:rPr>
          <w:rFonts w:ascii="Arial" w:hAnsi="Arial" w:cs="Arial"/>
          <w:sz w:val="22"/>
          <w:szCs w:val="22"/>
        </w:rPr>
        <w:t xml:space="preserve">HbA1c &gt; 86 mmol/mol </w:t>
      </w:r>
    </w:p>
    <w:p w14:paraId="2FBB3264" w14:textId="77777777" w:rsidR="00467B5F" w:rsidRPr="00C53C57" w:rsidRDefault="00467B5F" w:rsidP="00467B5F">
      <w:pPr>
        <w:pStyle w:val="ListParagraph"/>
        <w:numPr>
          <w:ilvl w:val="0"/>
          <w:numId w:val="2"/>
        </w:numPr>
        <w:jc w:val="both"/>
        <w:rPr>
          <w:rFonts w:ascii="Arial" w:hAnsi="Arial" w:cs="Arial"/>
          <w:sz w:val="22"/>
          <w:szCs w:val="22"/>
        </w:rPr>
      </w:pPr>
      <w:r w:rsidRPr="00C53C57">
        <w:rPr>
          <w:rFonts w:ascii="Arial" w:hAnsi="Arial" w:cs="Arial"/>
          <w:sz w:val="22"/>
          <w:szCs w:val="22"/>
        </w:rPr>
        <w:t xml:space="preserve">Uncontrolled BP (&gt; 160/100) </w:t>
      </w:r>
    </w:p>
    <w:p w14:paraId="3B88FAA0" w14:textId="77777777" w:rsidR="00467B5F" w:rsidRPr="00C53C57" w:rsidRDefault="00467B5F" w:rsidP="00467B5F">
      <w:pPr>
        <w:pStyle w:val="ListParagraph"/>
        <w:numPr>
          <w:ilvl w:val="0"/>
          <w:numId w:val="2"/>
        </w:numPr>
        <w:jc w:val="both"/>
        <w:rPr>
          <w:rFonts w:ascii="Arial" w:hAnsi="Arial" w:cs="Arial"/>
          <w:sz w:val="22"/>
          <w:szCs w:val="22"/>
        </w:rPr>
      </w:pPr>
      <w:r w:rsidRPr="00C53C57">
        <w:rPr>
          <w:rFonts w:ascii="Arial" w:hAnsi="Arial" w:cs="Arial"/>
          <w:sz w:val="22"/>
          <w:szCs w:val="22"/>
        </w:rPr>
        <w:t xml:space="preserve">Known CKD level 4 or more (eGFR &lt; 30 ml/min) </w:t>
      </w:r>
    </w:p>
    <w:p w14:paraId="11038CDE" w14:textId="77777777" w:rsidR="00467B5F" w:rsidRPr="00C53C57" w:rsidRDefault="00467B5F" w:rsidP="00467B5F">
      <w:pPr>
        <w:pStyle w:val="ListParagraph"/>
        <w:numPr>
          <w:ilvl w:val="0"/>
          <w:numId w:val="2"/>
        </w:numPr>
        <w:jc w:val="both"/>
        <w:rPr>
          <w:rFonts w:ascii="Arial" w:hAnsi="Arial" w:cs="Arial"/>
          <w:sz w:val="22"/>
          <w:szCs w:val="22"/>
        </w:rPr>
      </w:pPr>
      <w:r w:rsidRPr="00C53C57">
        <w:rPr>
          <w:rFonts w:ascii="Arial" w:hAnsi="Arial" w:cs="Arial"/>
          <w:sz w:val="22"/>
          <w:szCs w:val="22"/>
        </w:rPr>
        <w:t xml:space="preserve">High risk of </w:t>
      </w:r>
      <w:r>
        <w:rPr>
          <w:rFonts w:ascii="Arial" w:hAnsi="Arial" w:cs="Arial"/>
          <w:sz w:val="22"/>
          <w:szCs w:val="22"/>
        </w:rPr>
        <w:t>h</w:t>
      </w:r>
      <w:r w:rsidRPr="00C53C57">
        <w:rPr>
          <w:rFonts w:ascii="Arial" w:hAnsi="Arial" w:cs="Arial"/>
          <w:sz w:val="22"/>
          <w:szCs w:val="22"/>
        </w:rPr>
        <w:t xml:space="preserve">ypoglycaemia: severe </w:t>
      </w:r>
      <w:r>
        <w:rPr>
          <w:rFonts w:ascii="Arial" w:hAnsi="Arial" w:cs="Arial"/>
          <w:sz w:val="22"/>
          <w:szCs w:val="22"/>
        </w:rPr>
        <w:t>h</w:t>
      </w:r>
      <w:r w:rsidRPr="00C53C57">
        <w:rPr>
          <w:rFonts w:ascii="Arial" w:hAnsi="Arial" w:cs="Arial"/>
          <w:sz w:val="22"/>
          <w:szCs w:val="22"/>
        </w:rPr>
        <w:t>ypoglycaemia in the last year or complete loss of hypoglycaemia awareness</w:t>
      </w:r>
    </w:p>
    <w:p w14:paraId="503FD1BA" w14:textId="77777777" w:rsidR="00467B5F" w:rsidRPr="00C53C57" w:rsidRDefault="00467B5F" w:rsidP="00467B5F">
      <w:pPr>
        <w:pStyle w:val="ListParagraph"/>
        <w:numPr>
          <w:ilvl w:val="0"/>
          <w:numId w:val="2"/>
        </w:numPr>
        <w:jc w:val="both"/>
        <w:rPr>
          <w:rFonts w:ascii="Arial" w:hAnsi="Arial" w:cs="Arial"/>
          <w:sz w:val="22"/>
          <w:szCs w:val="22"/>
        </w:rPr>
      </w:pPr>
      <w:r w:rsidRPr="00C53C57">
        <w:rPr>
          <w:rFonts w:ascii="Arial" w:hAnsi="Arial" w:cs="Arial"/>
          <w:sz w:val="22"/>
          <w:szCs w:val="22"/>
        </w:rPr>
        <w:t xml:space="preserve">High risk of admission: </w:t>
      </w:r>
      <w:r>
        <w:rPr>
          <w:rFonts w:ascii="Arial" w:hAnsi="Arial" w:cs="Arial"/>
          <w:sz w:val="22"/>
          <w:szCs w:val="22"/>
        </w:rPr>
        <w:t xml:space="preserve">Recent </w:t>
      </w:r>
      <w:proofErr w:type="spellStart"/>
      <w:r w:rsidRPr="00C53C57">
        <w:rPr>
          <w:rFonts w:ascii="Arial" w:hAnsi="Arial" w:cs="Arial"/>
          <w:sz w:val="22"/>
          <w:szCs w:val="22"/>
        </w:rPr>
        <w:t>dmission</w:t>
      </w:r>
      <w:proofErr w:type="spellEnd"/>
      <w:r w:rsidRPr="00C53C57">
        <w:rPr>
          <w:rFonts w:ascii="Arial" w:hAnsi="Arial" w:cs="Arial"/>
          <w:sz w:val="22"/>
          <w:szCs w:val="22"/>
        </w:rPr>
        <w:t xml:space="preserve"> with DKA / HHS or </w:t>
      </w:r>
      <w:r>
        <w:rPr>
          <w:rFonts w:ascii="Arial" w:hAnsi="Arial" w:cs="Arial"/>
          <w:sz w:val="22"/>
          <w:szCs w:val="22"/>
        </w:rPr>
        <w:t>a</w:t>
      </w:r>
      <w:r w:rsidRPr="00C53C57">
        <w:rPr>
          <w:rFonts w:ascii="Arial" w:hAnsi="Arial" w:cs="Arial"/>
          <w:sz w:val="22"/>
          <w:szCs w:val="22"/>
        </w:rPr>
        <w:t xml:space="preserve"> diabetes related comorbidity such as ischaemic heart disease, heart failure– or </w:t>
      </w:r>
      <w:proofErr w:type="spellStart"/>
      <w:r w:rsidRPr="00C53C57">
        <w:rPr>
          <w:rFonts w:ascii="Arial" w:hAnsi="Arial" w:cs="Arial"/>
          <w:sz w:val="22"/>
          <w:szCs w:val="22"/>
        </w:rPr>
        <w:t>cerebro</w:t>
      </w:r>
      <w:proofErr w:type="spellEnd"/>
      <w:r w:rsidRPr="00C53C57">
        <w:rPr>
          <w:rFonts w:ascii="Arial" w:hAnsi="Arial" w:cs="Arial"/>
          <w:sz w:val="22"/>
          <w:szCs w:val="22"/>
        </w:rPr>
        <w:t>-vascular disease</w:t>
      </w:r>
    </w:p>
    <w:p w14:paraId="3B5DA570" w14:textId="77777777" w:rsidR="00467B5F" w:rsidRPr="00C53C57" w:rsidRDefault="00467B5F" w:rsidP="00467B5F">
      <w:pPr>
        <w:pStyle w:val="ListParagraph"/>
        <w:numPr>
          <w:ilvl w:val="0"/>
          <w:numId w:val="2"/>
        </w:numPr>
        <w:jc w:val="both"/>
        <w:rPr>
          <w:rFonts w:ascii="Arial" w:hAnsi="Arial" w:cs="Arial"/>
          <w:sz w:val="22"/>
          <w:szCs w:val="22"/>
        </w:rPr>
      </w:pPr>
      <w:r w:rsidRPr="00C53C57">
        <w:rPr>
          <w:rFonts w:ascii="Arial" w:hAnsi="Arial" w:cs="Arial"/>
          <w:sz w:val="22"/>
          <w:szCs w:val="22"/>
        </w:rPr>
        <w:t xml:space="preserve">Active diabetes foot disease </w:t>
      </w:r>
    </w:p>
    <w:p w14:paraId="12A07D80" w14:textId="77777777" w:rsidR="00467B5F" w:rsidRPr="00C53C57" w:rsidRDefault="00467B5F" w:rsidP="00467B5F">
      <w:pPr>
        <w:pStyle w:val="ListParagraph"/>
        <w:numPr>
          <w:ilvl w:val="0"/>
          <w:numId w:val="2"/>
        </w:numPr>
        <w:jc w:val="both"/>
        <w:rPr>
          <w:rFonts w:ascii="Arial" w:hAnsi="Arial" w:cs="Arial"/>
          <w:sz w:val="22"/>
          <w:szCs w:val="22"/>
        </w:rPr>
      </w:pPr>
      <w:r w:rsidRPr="00C53C57">
        <w:rPr>
          <w:rFonts w:ascii="Arial" w:hAnsi="Arial" w:cs="Arial"/>
          <w:sz w:val="22"/>
          <w:szCs w:val="22"/>
        </w:rPr>
        <w:t>Planning pregnancy in the next 6 months</w:t>
      </w:r>
    </w:p>
    <w:p w14:paraId="31FB59BD" w14:textId="77777777" w:rsidR="00467B5F" w:rsidRPr="00C53C57" w:rsidRDefault="00467B5F" w:rsidP="00467B5F">
      <w:pPr>
        <w:jc w:val="both"/>
        <w:rPr>
          <w:rFonts w:ascii="Arial" w:hAnsi="Arial" w:cs="Arial"/>
          <w:sz w:val="22"/>
          <w:szCs w:val="22"/>
        </w:rPr>
      </w:pPr>
    </w:p>
    <w:p w14:paraId="12AE7105" w14:textId="77777777" w:rsidR="00467B5F" w:rsidRPr="00C53C57" w:rsidRDefault="00467B5F" w:rsidP="00467B5F">
      <w:pPr>
        <w:jc w:val="both"/>
        <w:rPr>
          <w:rFonts w:ascii="Arial" w:hAnsi="Arial" w:cs="Arial"/>
          <w:sz w:val="22"/>
          <w:szCs w:val="22"/>
        </w:rPr>
      </w:pPr>
      <w:r w:rsidRPr="00C53C57">
        <w:rPr>
          <w:rFonts w:ascii="Arial" w:hAnsi="Arial" w:cs="Arial"/>
          <w:b/>
          <w:bCs/>
          <w:sz w:val="22"/>
          <w:szCs w:val="22"/>
        </w:rPr>
        <w:t>PRIORITY “Amber”</w:t>
      </w:r>
      <w:r w:rsidRPr="00C53C57">
        <w:rPr>
          <w:rFonts w:ascii="Arial" w:hAnsi="Arial" w:cs="Arial"/>
          <w:sz w:val="22"/>
          <w:szCs w:val="22"/>
        </w:rPr>
        <w:t>: These p</w:t>
      </w:r>
      <w:r>
        <w:rPr>
          <w:rFonts w:ascii="Arial" w:hAnsi="Arial" w:cs="Arial"/>
          <w:sz w:val="22"/>
          <w:szCs w:val="22"/>
        </w:rPr>
        <w:t>eople</w:t>
      </w:r>
      <w:r w:rsidRPr="00C53C57">
        <w:rPr>
          <w:rFonts w:ascii="Arial" w:hAnsi="Arial" w:cs="Arial"/>
          <w:sz w:val="22"/>
          <w:szCs w:val="22"/>
        </w:rPr>
        <w:t xml:space="preserve"> should be reviewed within the next 6 months by their team </w:t>
      </w:r>
    </w:p>
    <w:p w14:paraId="493279A0" w14:textId="77777777" w:rsidR="00467B5F" w:rsidRPr="00C53C57" w:rsidRDefault="00467B5F" w:rsidP="00467B5F">
      <w:pPr>
        <w:pStyle w:val="ListParagraph"/>
        <w:numPr>
          <w:ilvl w:val="0"/>
          <w:numId w:val="3"/>
        </w:numPr>
        <w:jc w:val="both"/>
        <w:rPr>
          <w:rFonts w:ascii="Arial" w:hAnsi="Arial" w:cs="Arial"/>
          <w:sz w:val="22"/>
          <w:szCs w:val="22"/>
        </w:rPr>
      </w:pPr>
      <w:r w:rsidRPr="00C53C57">
        <w:rPr>
          <w:rFonts w:ascii="Arial" w:hAnsi="Arial" w:cs="Arial"/>
          <w:sz w:val="22"/>
          <w:szCs w:val="22"/>
        </w:rPr>
        <w:t>People with H</w:t>
      </w:r>
      <w:r>
        <w:rPr>
          <w:rFonts w:ascii="Arial" w:hAnsi="Arial" w:cs="Arial"/>
          <w:sz w:val="22"/>
          <w:szCs w:val="22"/>
        </w:rPr>
        <w:t>b</w:t>
      </w:r>
      <w:r w:rsidRPr="00C53C57">
        <w:rPr>
          <w:rFonts w:ascii="Arial" w:hAnsi="Arial" w:cs="Arial"/>
          <w:sz w:val="22"/>
          <w:szCs w:val="22"/>
        </w:rPr>
        <w:t xml:space="preserve">A1c between 64-86 mmol/mol </w:t>
      </w:r>
    </w:p>
    <w:p w14:paraId="3070BA6E" w14:textId="77777777" w:rsidR="00467B5F" w:rsidRPr="00C53C57" w:rsidRDefault="00467B5F" w:rsidP="00467B5F">
      <w:pPr>
        <w:pStyle w:val="ListParagraph"/>
        <w:numPr>
          <w:ilvl w:val="0"/>
          <w:numId w:val="3"/>
        </w:numPr>
        <w:jc w:val="both"/>
        <w:rPr>
          <w:rFonts w:ascii="Arial" w:hAnsi="Arial" w:cs="Arial"/>
          <w:sz w:val="22"/>
          <w:szCs w:val="22"/>
        </w:rPr>
      </w:pPr>
      <w:r>
        <w:rPr>
          <w:rFonts w:ascii="Arial" w:hAnsi="Arial" w:cs="Arial"/>
          <w:sz w:val="22"/>
          <w:szCs w:val="22"/>
        </w:rPr>
        <w:t>Elevated</w:t>
      </w:r>
      <w:r w:rsidRPr="00C53C57">
        <w:rPr>
          <w:rFonts w:ascii="Arial" w:hAnsi="Arial" w:cs="Arial"/>
          <w:sz w:val="22"/>
          <w:szCs w:val="22"/>
        </w:rPr>
        <w:t xml:space="preserve"> hypoglycaemia risk such as those with impaired hypoglycaemia awareness or those with HbA1c &lt; 48 mmol/l on insulin or </w:t>
      </w:r>
      <w:proofErr w:type="spellStart"/>
      <w:r w:rsidRPr="00C53C57">
        <w:rPr>
          <w:rFonts w:ascii="Arial" w:hAnsi="Arial" w:cs="Arial"/>
          <w:sz w:val="22"/>
          <w:szCs w:val="22"/>
        </w:rPr>
        <w:t>sulphonylureas</w:t>
      </w:r>
      <w:proofErr w:type="spellEnd"/>
      <w:r w:rsidRPr="00C53C57">
        <w:rPr>
          <w:rFonts w:ascii="Arial" w:hAnsi="Arial" w:cs="Arial"/>
          <w:sz w:val="22"/>
          <w:szCs w:val="22"/>
        </w:rPr>
        <w:t xml:space="preserve"> with known</w:t>
      </w:r>
      <w:r>
        <w:rPr>
          <w:rFonts w:ascii="Arial" w:hAnsi="Arial" w:cs="Arial"/>
          <w:sz w:val="22"/>
          <w:szCs w:val="22"/>
        </w:rPr>
        <w:t xml:space="preserve"> frailty</w:t>
      </w:r>
      <w:r w:rsidRPr="00C53C57">
        <w:rPr>
          <w:rFonts w:ascii="Arial" w:hAnsi="Arial" w:cs="Arial"/>
          <w:sz w:val="22"/>
          <w:szCs w:val="22"/>
        </w:rPr>
        <w:t xml:space="preserve">. </w:t>
      </w:r>
    </w:p>
    <w:p w14:paraId="6FACD67D" w14:textId="77777777" w:rsidR="00467B5F" w:rsidRPr="00C53C57" w:rsidRDefault="00467B5F" w:rsidP="00467B5F">
      <w:pPr>
        <w:pStyle w:val="ListParagraph"/>
        <w:numPr>
          <w:ilvl w:val="0"/>
          <w:numId w:val="3"/>
        </w:numPr>
        <w:jc w:val="both"/>
        <w:rPr>
          <w:rFonts w:ascii="Arial" w:hAnsi="Arial" w:cs="Arial"/>
          <w:sz w:val="22"/>
          <w:szCs w:val="22"/>
        </w:rPr>
      </w:pPr>
      <w:r w:rsidRPr="00C53C57">
        <w:rPr>
          <w:rFonts w:ascii="Arial" w:hAnsi="Arial" w:cs="Arial"/>
          <w:sz w:val="22"/>
          <w:szCs w:val="22"/>
        </w:rPr>
        <w:t xml:space="preserve">Those with known CKD stage 3B (eGFR &lt; 45ml/min or current albuminuria) or rapidly declining e GFR (&gt; 15 ml/year) or progressive albuminuria ACR &gt;30 </w:t>
      </w:r>
    </w:p>
    <w:p w14:paraId="54AD7305" w14:textId="77777777" w:rsidR="00467B5F" w:rsidRPr="00C53C57" w:rsidRDefault="00467B5F" w:rsidP="00467B5F">
      <w:pPr>
        <w:pStyle w:val="ListParagraph"/>
        <w:numPr>
          <w:ilvl w:val="0"/>
          <w:numId w:val="3"/>
        </w:numPr>
        <w:jc w:val="both"/>
        <w:rPr>
          <w:rFonts w:ascii="Arial" w:hAnsi="Arial" w:cs="Arial"/>
          <w:sz w:val="22"/>
          <w:szCs w:val="22"/>
        </w:rPr>
      </w:pPr>
      <w:r w:rsidRPr="00C53C57">
        <w:rPr>
          <w:rFonts w:ascii="Arial" w:hAnsi="Arial" w:cs="Arial"/>
          <w:sz w:val="22"/>
          <w:szCs w:val="22"/>
        </w:rPr>
        <w:lastRenderedPageBreak/>
        <w:t xml:space="preserve">Known “high-risk” feet not known to podiatry service </w:t>
      </w:r>
    </w:p>
    <w:p w14:paraId="1D22592A" w14:textId="77777777" w:rsidR="00467B5F" w:rsidRPr="00C53C57" w:rsidRDefault="00467B5F" w:rsidP="00467B5F">
      <w:pPr>
        <w:pStyle w:val="ListParagraph"/>
        <w:numPr>
          <w:ilvl w:val="0"/>
          <w:numId w:val="3"/>
        </w:numPr>
        <w:jc w:val="both"/>
        <w:rPr>
          <w:rFonts w:ascii="Arial" w:hAnsi="Arial" w:cs="Arial"/>
          <w:sz w:val="22"/>
          <w:szCs w:val="22"/>
        </w:rPr>
      </w:pPr>
      <w:r w:rsidRPr="00C53C57">
        <w:rPr>
          <w:rFonts w:ascii="Arial" w:hAnsi="Arial" w:cs="Arial"/>
          <w:sz w:val="22"/>
          <w:szCs w:val="22"/>
        </w:rPr>
        <w:t xml:space="preserve">Those with no diabetes review in the last 15 months </w:t>
      </w:r>
    </w:p>
    <w:p w14:paraId="49C36BA3" w14:textId="77777777" w:rsidR="00467B5F" w:rsidRPr="00C53C57" w:rsidRDefault="00467B5F" w:rsidP="00467B5F">
      <w:pPr>
        <w:jc w:val="both"/>
        <w:rPr>
          <w:rFonts w:ascii="Arial" w:hAnsi="Arial" w:cs="Arial"/>
          <w:sz w:val="22"/>
          <w:szCs w:val="22"/>
        </w:rPr>
      </w:pPr>
    </w:p>
    <w:p w14:paraId="69051BB6" w14:textId="77777777" w:rsidR="00467B5F" w:rsidRPr="00C53C57" w:rsidRDefault="00467B5F" w:rsidP="00467B5F">
      <w:pPr>
        <w:jc w:val="both"/>
        <w:rPr>
          <w:rFonts w:ascii="Arial" w:hAnsi="Arial" w:cs="Arial"/>
          <w:sz w:val="22"/>
          <w:szCs w:val="22"/>
        </w:rPr>
      </w:pPr>
      <w:r w:rsidRPr="00C53C57">
        <w:rPr>
          <w:rFonts w:ascii="Arial" w:hAnsi="Arial" w:cs="Arial"/>
          <w:sz w:val="22"/>
          <w:szCs w:val="22"/>
        </w:rPr>
        <w:t xml:space="preserve">Where capacity allows, these further groups can also be considered in the </w:t>
      </w:r>
      <w:proofErr w:type="gramStart"/>
      <w:r w:rsidRPr="00C53C57">
        <w:rPr>
          <w:rFonts w:ascii="Arial" w:hAnsi="Arial" w:cs="Arial"/>
          <w:sz w:val="22"/>
          <w:szCs w:val="22"/>
        </w:rPr>
        <w:t>priority ”amber</w:t>
      </w:r>
      <w:proofErr w:type="gramEnd"/>
      <w:r w:rsidRPr="00C53C57">
        <w:rPr>
          <w:rFonts w:ascii="Arial" w:hAnsi="Arial" w:cs="Arial"/>
          <w:sz w:val="22"/>
          <w:szCs w:val="22"/>
        </w:rPr>
        <w:t xml:space="preserve">” group: </w:t>
      </w:r>
    </w:p>
    <w:p w14:paraId="04050A9C" w14:textId="77777777" w:rsidR="00467B5F" w:rsidRPr="00C53C57" w:rsidRDefault="00467B5F" w:rsidP="00467B5F">
      <w:pPr>
        <w:pStyle w:val="ListParagraph"/>
        <w:numPr>
          <w:ilvl w:val="0"/>
          <w:numId w:val="3"/>
        </w:numPr>
        <w:jc w:val="both"/>
        <w:rPr>
          <w:rFonts w:ascii="Arial" w:hAnsi="Arial" w:cs="Arial"/>
          <w:sz w:val="22"/>
          <w:szCs w:val="22"/>
        </w:rPr>
      </w:pPr>
      <w:r w:rsidRPr="00C53C57">
        <w:rPr>
          <w:rFonts w:ascii="Arial" w:hAnsi="Arial" w:cs="Arial"/>
          <w:sz w:val="22"/>
          <w:szCs w:val="22"/>
        </w:rPr>
        <w:t>BMI &gt; 40</w:t>
      </w:r>
      <w:bookmarkStart w:id="0" w:name="_Hlk41913012"/>
      <w:r w:rsidRPr="00C53C57">
        <w:rPr>
          <w:rFonts w:ascii="Arial" w:hAnsi="Arial" w:cs="Arial"/>
          <w:sz w:val="22"/>
          <w:szCs w:val="22"/>
        </w:rPr>
        <w:t xml:space="preserve"> kg/m</w:t>
      </w:r>
      <w:r w:rsidRPr="00C53C57">
        <w:rPr>
          <w:rFonts w:ascii="Arial" w:hAnsi="Arial" w:cs="Arial"/>
          <w:sz w:val="22"/>
          <w:szCs w:val="22"/>
          <w:vertAlign w:val="superscript"/>
        </w:rPr>
        <w:t>2</w:t>
      </w:r>
      <w:bookmarkEnd w:id="0"/>
      <w:r w:rsidRPr="00C53C57">
        <w:rPr>
          <w:rFonts w:ascii="Arial" w:hAnsi="Arial" w:cs="Arial"/>
          <w:sz w:val="22"/>
          <w:szCs w:val="22"/>
          <w:vertAlign w:val="superscript"/>
        </w:rPr>
        <w:t xml:space="preserve"> </w:t>
      </w:r>
      <w:r w:rsidRPr="00C53C57">
        <w:rPr>
          <w:rFonts w:ascii="Arial" w:hAnsi="Arial" w:cs="Arial"/>
          <w:sz w:val="22"/>
          <w:szCs w:val="22"/>
        </w:rPr>
        <w:t>(or BMI &gt;35 kg/m</w:t>
      </w:r>
      <w:r w:rsidRPr="00C53C57">
        <w:rPr>
          <w:rFonts w:ascii="Arial" w:hAnsi="Arial" w:cs="Arial"/>
          <w:sz w:val="22"/>
          <w:szCs w:val="22"/>
          <w:vertAlign w:val="superscript"/>
        </w:rPr>
        <w:t>2</w:t>
      </w:r>
      <w:r w:rsidRPr="00C53C57">
        <w:rPr>
          <w:rFonts w:ascii="Arial" w:hAnsi="Arial" w:cs="Arial"/>
          <w:sz w:val="22"/>
          <w:szCs w:val="22"/>
        </w:rPr>
        <w:t xml:space="preserve"> associated with co-morbidities)</w:t>
      </w:r>
    </w:p>
    <w:p w14:paraId="5074AEF4" w14:textId="77777777" w:rsidR="00467B5F" w:rsidRPr="00C53C57" w:rsidRDefault="00467B5F" w:rsidP="00467B5F">
      <w:pPr>
        <w:pStyle w:val="ListParagraph"/>
        <w:numPr>
          <w:ilvl w:val="0"/>
          <w:numId w:val="3"/>
        </w:numPr>
        <w:jc w:val="both"/>
        <w:rPr>
          <w:rFonts w:ascii="Arial" w:hAnsi="Arial" w:cs="Arial"/>
          <w:sz w:val="22"/>
          <w:szCs w:val="22"/>
        </w:rPr>
      </w:pPr>
      <w:r w:rsidRPr="00C53C57">
        <w:rPr>
          <w:rFonts w:ascii="Arial" w:hAnsi="Arial" w:cs="Arial"/>
          <w:sz w:val="22"/>
          <w:szCs w:val="22"/>
        </w:rPr>
        <w:t xml:space="preserve">Those aged &lt;40 years with </w:t>
      </w:r>
      <w:r w:rsidRPr="00C53C57">
        <w:rPr>
          <w:rFonts w:ascii="Arial" w:hAnsi="Arial"/>
          <w:sz w:val="22"/>
        </w:rPr>
        <w:t xml:space="preserve">known </w:t>
      </w:r>
      <w:r w:rsidRPr="00C53C57">
        <w:rPr>
          <w:rFonts w:ascii="Arial" w:hAnsi="Arial" w:cs="Arial"/>
          <w:sz w:val="22"/>
          <w:szCs w:val="22"/>
        </w:rPr>
        <w:t>early onset</w:t>
      </w:r>
      <w:r w:rsidRPr="00C53C57">
        <w:rPr>
          <w:rFonts w:ascii="Arial" w:hAnsi="Arial"/>
          <w:sz w:val="22"/>
        </w:rPr>
        <w:t xml:space="preserve"> complications</w:t>
      </w:r>
      <w:r w:rsidRPr="00C53C57">
        <w:rPr>
          <w:rFonts w:ascii="Arial" w:hAnsi="Arial" w:cs="Arial"/>
          <w:sz w:val="22"/>
          <w:szCs w:val="22"/>
        </w:rPr>
        <w:t xml:space="preserve"> (type 1 or type 2 diabetes) </w:t>
      </w:r>
    </w:p>
    <w:p w14:paraId="2768ADE5" w14:textId="77777777" w:rsidR="00467B5F" w:rsidRPr="00C53C57" w:rsidRDefault="00467B5F" w:rsidP="00467B5F">
      <w:pPr>
        <w:pStyle w:val="ListParagraph"/>
        <w:numPr>
          <w:ilvl w:val="0"/>
          <w:numId w:val="4"/>
        </w:numPr>
        <w:jc w:val="both"/>
        <w:rPr>
          <w:rFonts w:ascii="Arial" w:hAnsi="Arial" w:cs="Arial"/>
          <w:sz w:val="22"/>
          <w:szCs w:val="22"/>
        </w:rPr>
      </w:pPr>
      <w:r w:rsidRPr="00C53C57">
        <w:rPr>
          <w:rFonts w:ascii="Arial" w:hAnsi="Arial" w:cs="Arial"/>
          <w:sz w:val="22"/>
          <w:szCs w:val="22"/>
        </w:rPr>
        <w:t xml:space="preserve">Those not meeting their 3 treatment targets (HbA1c, BP, </w:t>
      </w:r>
      <w:r>
        <w:rPr>
          <w:rFonts w:ascii="Arial" w:hAnsi="Arial" w:cs="Arial"/>
          <w:sz w:val="22"/>
          <w:szCs w:val="22"/>
        </w:rPr>
        <w:t>l</w:t>
      </w:r>
      <w:r w:rsidRPr="00C53C57">
        <w:rPr>
          <w:rFonts w:ascii="Arial" w:hAnsi="Arial" w:cs="Arial"/>
          <w:sz w:val="22"/>
          <w:szCs w:val="22"/>
        </w:rPr>
        <w:t>ipids) at last visit</w:t>
      </w:r>
    </w:p>
    <w:p w14:paraId="75E3E934" w14:textId="77777777" w:rsidR="00467B5F" w:rsidRPr="00C53C57" w:rsidRDefault="00467B5F" w:rsidP="00467B5F">
      <w:pPr>
        <w:jc w:val="both"/>
        <w:rPr>
          <w:rFonts w:ascii="Arial" w:hAnsi="Arial" w:cs="Arial"/>
          <w:sz w:val="22"/>
          <w:szCs w:val="22"/>
        </w:rPr>
      </w:pPr>
    </w:p>
    <w:p w14:paraId="437666E0" w14:textId="77777777" w:rsidR="00467B5F" w:rsidRPr="00C53C57" w:rsidRDefault="00467B5F" w:rsidP="00467B5F">
      <w:pPr>
        <w:jc w:val="both"/>
        <w:rPr>
          <w:rFonts w:ascii="Arial" w:hAnsi="Arial" w:cs="Arial"/>
          <w:sz w:val="22"/>
          <w:szCs w:val="22"/>
        </w:rPr>
      </w:pPr>
      <w:r w:rsidRPr="00C53C57">
        <w:rPr>
          <w:rFonts w:ascii="Arial" w:hAnsi="Arial" w:cs="Arial"/>
          <w:b/>
          <w:bCs/>
          <w:sz w:val="22"/>
          <w:szCs w:val="22"/>
        </w:rPr>
        <w:t>ROUTINE “Green”</w:t>
      </w:r>
      <w:r w:rsidRPr="00C53C57">
        <w:rPr>
          <w:rFonts w:ascii="Arial" w:hAnsi="Arial" w:cs="Arial"/>
          <w:sz w:val="22"/>
          <w:szCs w:val="22"/>
        </w:rPr>
        <w:t xml:space="preserve">: Given the challenges mentioned, it is </w:t>
      </w:r>
      <w:r>
        <w:rPr>
          <w:rFonts w:ascii="Arial" w:hAnsi="Arial" w:cs="Arial"/>
          <w:sz w:val="22"/>
          <w:szCs w:val="22"/>
        </w:rPr>
        <w:t>possible</w:t>
      </w:r>
      <w:r w:rsidRPr="00C53C57">
        <w:rPr>
          <w:rFonts w:ascii="Arial" w:hAnsi="Arial" w:cs="Arial"/>
          <w:sz w:val="22"/>
          <w:szCs w:val="22"/>
        </w:rPr>
        <w:t xml:space="preserve"> that these patients may not be seen before 2021. Health care providers should contact these people explaining the situation and providing them with information and resources</w:t>
      </w:r>
      <w:r>
        <w:rPr>
          <w:rFonts w:ascii="Arial" w:hAnsi="Arial" w:cs="Arial"/>
          <w:sz w:val="22"/>
          <w:szCs w:val="22"/>
        </w:rPr>
        <w:t xml:space="preserve">, with </w:t>
      </w:r>
      <w:r w:rsidRPr="00C53C57">
        <w:rPr>
          <w:rFonts w:ascii="Arial" w:hAnsi="Arial" w:cs="Arial"/>
          <w:sz w:val="22"/>
          <w:szCs w:val="22"/>
        </w:rPr>
        <w:t xml:space="preserve">guidance on what to do if any of their parameters change. For example, if they become unwell, of their blood glucose readings are much higher or much lower than usual. They should be advised to monitor their glucose where appropriate (insulin treated patients) and monitor their weight and blood pressure where appropriate. Signpost individuals </w:t>
      </w:r>
      <w:proofErr w:type="gramStart"/>
      <w:r w:rsidRPr="00C53C57">
        <w:rPr>
          <w:rFonts w:ascii="Arial" w:hAnsi="Arial" w:cs="Arial"/>
          <w:sz w:val="22"/>
          <w:szCs w:val="22"/>
        </w:rPr>
        <w:t>to  educational</w:t>
      </w:r>
      <w:proofErr w:type="gramEnd"/>
      <w:r w:rsidRPr="00C53C57">
        <w:rPr>
          <w:rFonts w:ascii="Arial" w:hAnsi="Arial" w:cs="Arial"/>
          <w:sz w:val="22"/>
          <w:szCs w:val="22"/>
        </w:rPr>
        <w:t xml:space="preserve"> resources commissioned by CCGs and the new NHSE educational webs</w:t>
      </w:r>
      <w:r>
        <w:rPr>
          <w:rFonts w:ascii="Arial" w:hAnsi="Arial" w:cs="Arial"/>
          <w:sz w:val="22"/>
          <w:szCs w:val="22"/>
        </w:rPr>
        <w:t>ites</w:t>
      </w:r>
      <w:r w:rsidRPr="00D4751F">
        <w:rPr>
          <w:rFonts w:ascii="Arial" w:hAnsi="Arial" w:cs="Arial"/>
          <w:noProof/>
          <w:sz w:val="22"/>
          <w:szCs w:val="22"/>
          <w:vertAlign w:val="superscript"/>
        </w:rPr>
        <w:t>10</w:t>
      </w:r>
      <w:r>
        <w:rPr>
          <w:rFonts w:ascii="Arial" w:hAnsi="Arial" w:cs="Arial"/>
          <w:sz w:val="22"/>
          <w:szCs w:val="22"/>
        </w:rPr>
        <w:t xml:space="preserve">. </w:t>
      </w:r>
    </w:p>
    <w:p w14:paraId="30558A4D" w14:textId="77777777" w:rsidR="00467B5F" w:rsidRPr="00C53C57" w:rsidRDefault="00467B5F" w:rsidP="00467B5F">
      <w:pPr>
        <w:pStyle w:val="ListParagraph"/>
        <w:numPr>
          <w:ilvl w:val="0"/>
          <w:numId w:val="4"/>
        </w:numPr>
        <w:jc w:val="both"/>
        <w:rPr>
          <w:rFonts w:ascii="Arial" w:hAnsi="Arial" w:cs="Arial"/>
          <w:sz w:val="22"/>
          <w:szCs w:val="22"/>
        </w:rPr>
      </w:pPr>
      <w:r w:rsidRPr="00C53C57">
        <w:rPr>
          <w:rFonts w:ascii="Arial" w:hAnsi="Arial" w:cs="Arial"/>
          <w:sz w:val="22"/>
          <w:szCs w:val="22"/>
        </w:rPr>
        <w:t>HbA1c &lt; 64 mmol/mol with no risk factors for hypoglycaemia</w:t>
      </w:r>
    </w:p>
    <w:p w14:paraId="5CA7672A" w14:textId="77777777" w:rsidR="00467B5F" w:rsidRPr="00C53C57" w:rsidRDefault="00467B5F" w:rsidP="00467B5F">
      <w:pPr>
        <w:pStyle w:val="ListParagraph"/>
        <w:numPr>
          <w:ilvl w:val="0"/>
          <w:numId w:val="4"/>
        </w:numPr>
        <w:jc w:val="both"/>
        <w:rPr>
          <w:rFonts w:ascii="Arial" w:hAnsi="Arial" w:cs="Arial"/>
          <w:sz w:val="22"/>
          <w:szCs w:val="22"/>
        </w:rPr>
      </w:pPr>
      <w:r w:rsidRPr="00C53C57">
        <w:rPr>
          <w:rFonts w:ascii="Arial" w:hAnsi="Arial" w:cs="Arial"/>
          <w:sz w:val="22"/>
          <w:szCs w:val="22"/>
        </w:rPr>
        <w:t>Stable renal function (eGFR &gt; 60 ml/min; no current microalbuminuria or proteinuria</w:t>
      </w:r>
    </w:p>
    <w:p w14:paraId="1D2DA322" w14:textId="77777777" w:rsidR="00467B5F" w:rsidRPr="00C53C57" w:rsidRDefault="00467B5F" w:rsidP="00467B5F">
      <w:pPr>
        <w:pStyle w:val="ListParagraph"/>
        <w:numPr>
          <w:ilvl w:val="0"/>
          <w:numId w:val="4"/>
        </w:numPr>
        <w:tabs>
          <w:tab w:val="left" w:pos="1200"/>
        </w:tabs>
        <w:jc w:val="both"/>
        <w:rPr>
          <w:rFonts w:ascii="Arial" w:hAnsi="Arial" w:cs="Arial"/>
          <w:sz w:val="22"/>
          <w:szCs w:val="22"/>
        </w:rPr>
      </w:pPr>
      <w:r w:rsidRPr="00C53C57">
        <w:rPr>
          <w:rFonts w:ascii="Arial" w:hAnsi="Arial" w:cs="Arial"/>
          <w:sz w:val="22"/>
          <w:szCs w:val="22"/>
        </w:rPr>
        <w:t>People with T2D who were meeting all 3 treatment targets in the last 12 months (i</w:t>
      </w:r>
      <w:r w:rsidRPr="00C53C57">
        <w:rPr>
          <w:rFonts w:eastAsia="Times New Roman" w:cstheme="minorHAnsi"/>
        </w:rPr>
        <w:t>.e. BP&lt;140/80</w:t>
      </w:r>
      <w:r w:rsidRPr="00C53C57">
        <w:rPr>
          <w:rFonts w:ascii="Arial" w:eastAsia="Times New Roman" w:hAnsi="Arial" w:cs="Arial"/>
        </w:rPr>
        <w:t xml:space="preserve">, </w:t>
      </w:r>
      <w:r w:rsidRPr="00C53C57">
        <w:rPr>
          <w:rFonts w:ascii="Arial" w:eastAsia="Times New Roman" w:hAnsi="Arial" w:cs="Arial"/>
          <w:sz w:val="22"/>
          <w:szCs w:val="22"/>
        </w:rPr>
        <w:t xml:space="preserve">total cholesterol &lt;5mmol, HbA1c &lt;58 mmol/mol, had low risk feet </w:t>
      </w:r>
    </w:p>
    <w:p w14:paraId="7AD7FFE7" w14:textId="77777777" w:rsidR="00467B5F" w:rsidRPr="00C53C57" w:rsidRDefault="00467B5F" w:rsidP="00467B5F">
      <w:pPr>
        <w:pStyle w:val="ListParagraph"/>
        <w:tabs>
          <w:tab w:val="left" w:pos="1200"/>
        </w:tabs>
        <w:jc w:val="both"/>
        <w:rPr>
          <w:rFonts w:ascii="Arial" w:hAnsi="Arial" w:cs="Arial"/>
          <w:sz w:val="22"/>
          <w:szCs w:val="22"/>
        </w:rPr>
      </w:pPr>
    </w:p>
    <w:p w14:paraId="4B8135BB" w14:textId="77777777" w:rsidR="00467B5F" w:rsidRPr="00C53C57" w:rsidRDefault="00467B5F" w:rsidP="00467B5F">
      <w:pPr>
        <w:tabs>
          <w:tab w:val="left" w:pos="1200"/>
        </w:tabs>
        <w:jc w:val="both"/>
        <w:rPr>
          <w:rFonts w:ascii="Arial" w:hAnsi="Arial" w:cs="Arial"/>
          <w:sz w:val="22"/>
          <w:szCs w:val="22"/>
        </w:rPr>
      </w:pPr>
      <w:r w:rsidRPr="00C53C57">
        <w:rPr>
          <w:rFonts w:ascii="Arial" w:hAnsi="Arial" w:cs="Arial"/>
          <w:b/>
          <w:bCs/>
          <w:sz w:val="22"/>
          <w:szCs w:val="22"/>
        </w:rPr>
        <w:t xml:space="preserve">Special considerations: </w:t>
      </w:r>
      <w:r w:rsidRPr="00C53C57">
        <w:rPr>
          <w:rFonts w:ascii="Arial" w:hAnsi="Arial" w:cs="Arial"/>
          <w:sz w:val="22"/>
          <w:szCs w:val="22"/>
        </w:rPr>
        <w:t>There are of course some people with diabetes who will fall outside these recommendations who may be considered high risk (people with learning difficulties, social difficulties, mental health issues, frailty, autonomic neuropathy), or those with cystic fibrosis related diabetes, post – transplant diabetes or who have other co-morbidities that put them at high risk. In particular, identifying people with frailty and de-escalating therapies when appropriate will be important. It is important to recognise that often those in the high-risk group with associated mental health, learning, social or personality conditions may be the least likely to engage with services in this time</w:t>
      </w:r>
      <w:r w:rsidRPr="00D4751F">
        <w:rPr>
          <w:rFonts w:ascii="Arial" w:hAnsi="Arial" w:cs="Arial"/>
          <w:noProof/>
          <w:sz w:val="22"/>
          <w:szCs w:val="22"/>
          <w:vertAlign w:val="superscript"/>
        </w:rPr>
        <w:t>11</w:t>
      </w:r>
      <w:r w:rsidRPr="00C53C57">
        <w:rPr>
          <w:rFonts w:ascii="Arial" w:hAnsi="Arial" w:cs="Arial"/>
          <w:sz w:val="22"/>
          <w:szCs w:val="22"/>
        </w:rPr>
        <w:t>. There may be some patients in the high-risk group whom the team know well and who are “stable” in the high-risk group and where previous attempts to engage and support have been unsuccessful. Teams will need to make individual case</w:t>
      </w:r>
      <w:r>
        <w:rPr>
          <w:rFonts w:ascii="Arial" w:hAnsi="Arial" w:cs="Arial"/>
          <w:sz w:val="22"/>
          <w:szCs w:val="22"/>
        </w:rPr>
        <w:t>-</w:t>
      </w:r>
      <w:r w:rsidRPr="00C53C57">
        <w:rPr>
          <w:rFonts w:ascii="Arial" w:hAnsi="Arial" w:cs="Arial"/>
          <w:sz w:val="22"/>
          <w:szCs w:val="22"/>
        </w:rPr>
        <w:t xml:space="preserve">based decisions on where to prioritise their own resources in these circumstances. </w:t>
      </w:r>
    </w:p>
    <w:p w14:paraId="36F727AB" w14:textId="77777777" w:rsidR="00467B5F" w:rsidRPr="00C53C57" w:rsidRDefault="00467B5F" w:rsidP="00467B5F">
      <w:pPr>
        <w:tabs>
          <w:tab w:val="left" w:pos="1200"/>
        </w:tabs>
        <w:jc w:val="both"/>
        <w:rPr>
          <w:rFonts w:ascii="Arial" w:hAnsi="Arial" w:cs="Arial"/>
          <w:sz w:val="22"/>
          <w:szCs w:val="22"/>
        </w:rPr>
      </w:pPr>
    </w:p>
    <w:p w14:paraId="42B991B4" w14:textId="77777777" w:rsidR="00467B5F" w:rsidRPr="00C53C57" w:rsidRDefault="00467B5F" w:rsidP="00467B5F">
      <w:pPr>
        <w:tabs>
          <w:tab w:val="left" w:pos="1200"/>
        </w:tabs>
        <w:jc w:val="both"/>
        <w:rPr>
          <w:rFonts w:ascii="Arial" w:hAnsi="Arial" w:cs="Arial"/>
          <w:sz w:val="22"/>
          <w:szCs w:val="22"/>
        </w:rPr>
      </w:pPr>
      <w:r w:rsidRPr="00C53C57">
        <w:rPr>
          <w:rFonts w:ascii="Arial" w:hAnsi="Arial" w:cs="Arial"/>
          <w:sz w:val="22"/>
          <w:szCs w:val="22"/>
        </w:rPr>
        <w:t xml:space="preserve">Other special need groups are individuals who have been discharged from hospital after a </w:t>
      </w:r>
      <w:proofErr w:type="spellStart"/>
      <w:r w:rsidRPr="00C53C57">
        <w:rPr>
          <w:rFonts w:ascii="Arial" w:hAnsi="Arial" w:cs="Arial"/>
          <w:sz w:val="22"/>
          <w:szCs w:val="22"/>
        </w:rPr>
        <w:t>Covid</w:t>
      </w:r>
      <w:proofErr w:type="spellEnd"/>
      <w:r w:rsidRPr="00C53C57">
        <w:rPr>
          <w:rFonts w:ascii="Arial" w:hAnsi="Arial" w:cs="Arial"/>
          <w:sz w:val="22"/>
          <w:szCs w:val="22"/>
        </w:rPr>
        <w:t xml:space="preserve"> or non </w:t>
      </w:r>
      <w:proofErr w:type="spellStart"/>
      <w:r w:rsidRPr="00C53C57">
        <w:rPr>
          <w:rFonts w:ascii="Arial" w:hAnsi="Arial" w:cs="Arial"/>
          <w:sz w:val="22"/>
          <w:szCs w:val="22"/>
        </w:rPr>
        <w:t>Covid</w:t>
      </w:r>
      <w:proofErr w:type="spellEnd"/>
      <w:r w:rsidRPr="00C53C57">
        <w:rPr>
          <w:rFonts w:ascii="Arial" w:hAnsi="Arial" w:cs="Arial"/>
          <w:sz w:val="22"/>
          <w:szCs w:val="22"/>
        </w:rPr>
        <w:t xml:space="preserve"> related admission who may require monitoring and support due to unstable glucose levels or because they have been started on insulin, and those who need assessment and optimisation of their diabetes prior to elective surgery. </w:t>
      </w:r>
    </w:p>
    <w:p w14:paraId="64178446" w14:textId="77777777" w:rsidR="00467B5F" w:rsidRPr="00C53C57" w:rsidRDefault="00467B5F" w:rsidP="00467B5F">
      <w:pPr>
        <w:jc w:val="both"/>
        <w:rPr>
          <w:rFonts w:ascii="Arial" w:hAnsi="Arial" w:cs="Arial"/>
          <w:b/>
          <w:bCs/>
          <w:sz w:val="22"/>
          <w:szCs w:val="22"/>
        </w:rPr>
      </w:pPr>
    </w:p>
    <w:p w14:paraId="753A621E" w14:textId="77777777" w:rsidR="00085071" w:rsidRDefault="00085071"/>
    <w:sectPr w:rsidR="0008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429D"/>
    <w:multiLevelType w:val="hybridMultilevel"/>
    <w:tmpl w:val="67EA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552CD"/>
    <w:multiLevelType w:val="hybridMultilevel"/>
    <w:tmpl w:val="776E1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2F3662"/>
    <w:multiLevelType w:val="hybridMultilevel"/>
    <w:tmpl w:val="BE52F656"/>
    <w:lvl w:ilvl="0" w:tplc="C262B9C6">
      <w:start w:val="1"/>
      <w:numFmt w:val="decimal"/>
      <w:lvlText w:val="%1."/>
      <w:lvlJc w:val="left"/>
      <w:pPr>
        <w:ind w:left="567"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F19D8"/>
    <w:multiLevelType w:val="hybridMultilevel"/>
    <w:tmpl w:val="6638D4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84A0D"/>
    <w:multiLevelType w:val="hybridMultilevel"/>
    <w:tmpl w:val="3982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5F"/>
    <w:rsid w:val="00085071"/>
    <w:rsid w:val="00467B5F"/>
    <w:rsid w:val="007601F4"/>
    <w:rsid w:val="0094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BFC7"/>
  <w15:chartTrackingRefBased/>
  <w15:docId w15:val="{2ADC2800-9E26-42BC-BB0C-6A854E36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5F"/>
    <w:pPr>
      <w:ind w:left="720"/>
      <w:contextualSpacing/>
    </w:pPr>
  </w:style>
  <w:style w:type="character" w:styleId="CommentReference">
    <w:name w:val="annotation reference"/>
    <w:basedOn w:val="DefaultParagraphFont"/>
    <w:uiPriority w:val="99"/>
    <w:semiHidden/>
    <w:unhideWhenUsed/>
    <w:rsid w:val="00467B5F"/>
    <w:rPr>
      <w:sz w:val="16"/>
      <w:szCs w:val="16"/>
    </w:rPr>
  </w:style>
  <w:style w:type="paragraph" w:styleId="CommentText">
    <w:name w:val="annotation text"/>
    <w:basedOn w:val="Normal"/>
    <w:link w:val="CommentTextChar"/>
    <w:uiPriority w:val="99"/>
    <w:unhideWhenUsed/>
    <w:rsid w:val="00467B5F"/>
    <w:rPr>
      <w:sz w:val="20"/>
      <w:szCs w:val="20"/>
    </w:rPr>
  </w:style>
  <w:style w:type="character" w:customStyle="1" w:styleId="CommentTextChar">
    <w:name w:val="Comment Text Char"/>
    <w:basedOn w:val="DefaultParagraphFont"/>
    <w:link w:val="CommentText"/>
    <w:uiPriority w:val="99"/>
    <w:rsid w:val="00467B5F"/>
    <w:rPr>
      <w:sz w:val="20"/>
      <w:szCs w:val="20"/>
    </w:rPr>
  </w:style>
  <w:style w:type="paragraph" w:styleId="BalloonText">
    <w:name w:val="Balloon Text"/>
    <w:basedOn w:val="Normal"/>
    <w:link w:val="BalloonTextChar"/>
    <w:uiPriority w:val="99"/>
    <w:semiHidden/>
    <w:unhideWhenUsed/>
    <w:rsid w:val="00467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Ipswich Hospital NHS Trust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Rayman, Gerry</dc:creator>
  <cp:keywords/>
  <dc:description/>
  <cp:lastModifiedBy>Nicola Cowap</cp:lastModifiedBy>
  <cp:revision>2</cp:revision>
  <dcterms:created xsi:type="dcterms:W3CDTF">2020-06-30T07:28:00Z</dcterms:created>
  <dcterms:modified xsi:type="dcterms:W3CDTF">2020-06-30T07:28:00Z</dcterms:modified>
</cp:coreProperties>
</file>